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A026" w14:textId="0CEDB990" w:rsidR="0087281D" w:rsidRDefault="0087281D" w:rsidP="00A822C7">
      <w:pPr>
        <w:jc w:val="center"/>
      </w:pPr>
      <w:r>
        <w:t>Albert Lichtenstein (USA)</w:t>
      </w:r>
    </w:p>
    <w:p w14:paraId="16F4790C" w14:textId="77777777" w:rsidR="0087281D" w:rsidRDefault="0087281D" w:rsidP="00A822C7">
      <w:pPr>
        <w:jc w:val="center"/>
      </w:pPr>
    </w:p>
    <w:p w14:paraId="448D257E" w14:textId="3AC088E6" w:rsidR="00A822C7" w:rsidRPr="0087281D" w:rsidRDefault="00A822C7" w:rsidP="00A822C7">
      <w:pPr>
        <w:jc w:val="center"/>
        <w:rPr>
          <w:sz w:val="28"/>
          <w:szCs w:val="28"/>
        </w:rPr>
      </w:pPr>
      <w:r w:rsidRPr="0087281D">
        <w:rPr>
          <w:sz w:val="28"/>
          <w:szCs w:val="28"/>
        </w:rPr>
        <w:t>To Intervene or not Intervene, that is the Question.</w:t>
      </w:r>
    </w:p>
    <w:p w14:paraId="75E4311B" w14:textId="77777777" w:rsidR="00A822C7" w:rsidRPr="0087281D" w:rsidRDefault="00A822C7" w:rsidP="00B55700">
      <w:pPr>
        <w:rPr>
          <w:sz w:val="28"/>
          <w:szCs w:val="28"/>
        </w:rPr>
      </w:pPr>
    </w:p>
    <w:p w14:paraId="4E3CCCF2" w14:textId="77777777" w:rsidR="00A822C7" w:rsidRDefault="00A822C7" w:rsidP="00B55700"/>
    <w:p w14:paraId="0D8F4EBD" w14:textId="59CBD7A5" w:rsidR="00B55700" w:rsidRDefault="00B55700" w:rsidP="00B55700">
      <w:r>
        <w:t xml:space="preserve">I have noticed over time that </w:t>
      </w:r>
      <w:r w:rsidR="009A0591">
        <w:t>many</w:t>
      </w:r>
      <w:r>
        <w:t xml:space="preserve"> interventions that occur to me while leading a Balint group go unspoken. This has led me to try to delineate </w:t>
      </w:r>
      <w:r w:rsidR="00D36CE6">
        <w:t>my</w:t>
      </w:r>
      <w:r>
        <w:t xml:space="preserve"> basis </w:t>
      </w:r>
      <w:r w:rsidR="00D36CE6">
        <w:t>for choosing</w:t>
      </w:r>
      <w:r>
        <w:t xml:space="preserve"> to make an intervention and what </w:t>
      </w:r>
      <w:r w:rsidR="00D36CE6">
        <w:t>my</w:t>
      </w:r>
      <w:r>
        <w:t xml:space="preserve"> cognitive process is</w:t>
      </w:r>
      <w:r w:rsidR="00D36CE6">
        <w:t xml:space="preserve"> when an intervention occurs to me</w:t>
      </w:r>
      <w:r>
        <w:t xml:space="preserve">. How well thought out is this process and why is it that some interventions just feel right? This presentation will attempt to examine these questions. </w:t>
      </w:r>
    </w:p>
    <w:p w14:paraId="4DCC4E93" w14:textId="77777777" w:rsidR="00B55700" w:rsidRDefault="00B55700" w:rsidP="00B55700"/>
    <w:p w14:paraId="31EF33CC" w14:textId="72FAE5CD" w:rsidR="00B55700" w:rsidRDefault="00B55700" w:rsidP="00B55700">
      <w:r>
        <w:t>In 2006 Marian Lustig and I wrote about how Balint groups help integrate intuition and reasoning building on Daniel Kahneman’s work (Lichtenstein and Lustig 2006). Kahneman (2003) described two cognitive systems that operate with decision making</w:t>
      </w:r>
      <w:r w:rsidR="00805680">
        <w:t>:</w:t>
      </w:r>
      <w:r>
        <w:t xml:space="preserve"> system 1, or </w:t>
      </w:r>
      <w:r w:rsidRPr="640A6CFA">
        <w:rPr>
          <w:i/>
          <w:iCs/>
        </w:rPr>
        <w:t>intuition</w:t>
      </w:r>
      <w:r>
        <w:t xml:space="preserve">; and system 2, or </w:t>
      </w:r>
      <w:r w:rsidRPr="640A6CFA">
        <w:rPr>
          <w:i/>
          <w:iCs/>
        </w:rPr>
        <w:t>reasoning</w:t>
      </w:r>
      <w:r>
        <w:t xml:space="preserve">. Intuition is fast, parallel, automatic, effortless, associative, slow learning, and emotional. Whereas reasoning is slow, serial, controlled, effortful, rule-governed, flexible, and neutral. With experience and proficiency, care providers, and Balint leaders, can begin to use automatic intuitive processes to make decisions. This presentation will incorporate this way of viewing decision making into understanding Balint leadership. </w:t>
      </w:r>
    </w:p>
    <w:p w14:paraId="40A2DD25" w14:textId="77777777" w:rsidR="00B55700" w:rsidRDefault="00B55700" w:rsidP="00B55700"/>
    <w:p w14:paraId="430AAB95" w14:textId="1AA5ADAC" w:rsidR="00B55700" w:rsidRDefault="00B55700" w:rsidP="00B55700">
      <w:r>
        <w:t>Leading a Balint group requires multitasking</w:t>
      </w:r>
      <w:r w:rsidR="00805680">
        <w:t>:</w:t>
      </w:r>
      <w:r>
        <w:t xml:space="preserve"> listening to the case content while monitoring and directing group process, tracking time, tracking group development, and monitoring one’s own emotional reactions, to name some of the tasks (Johnson et al</w:t>
      </w:r>
      <w:r w:rsidR="00805680">
        <w:t xml:space="preserve"> </w:t>
      </w:r>
      <w:r w:rsidR="00353D6A">
        <w:t>2004</w:t>
      </w:r>
      <w:r>
        <w:t>).</w:t>
      </w:r>
    </w:p>
    <w:p w14:paraId="0B65567D" w14:textId="77777777" w:rsidR="00B55700" w:rsidRDefault="00B55700" w:rsidP="00B55700"/>
    <w:p w14:paraId="49B3A757" w14:textId="1F874BBC" w:rsidR="00B55700" w:rsidRDefault="00B55700" w:rsidP="00B55700">
      <w:r>
        <w:t xml:space="preserve">Over time, and with experience, some of this becomes an automatic, intuitive process which allows interventions to bubble up. There are times when I can articulate the rationale for an intervention – sometimes in real time, sometimes after they are in my head demanding to be released. Since the group is happening in real time, there is time pressure to decide whether to intervene or not. Not all interventions </w:t>
      </w:r>
      <w:r w:rsidR="00886053">
        <w:t>will or should be spoken</w:t>
      </w:r>
      <w:r>
        <w:t xml:space="preserve">. </w:t>
      </w:r>
      <w:r w:rsidR="00001E4C">
        <w:t>Given the time pressure and complexity, an accurate intuitive, automatic system can help. However, w</w:t>
      </w:r>
      <w:r>
        <w:t>hen an intervention pops into my head do I trust my intuition and judgment or don’t I?</w:t>
      </w:r>
    </w:p>
    <w:p w14:paraId="0C279BB6" w14:textId="77777777" w:rsidR="00B55700" w:rsidRDefault="00B55700" w:rsidP="00B55700">
      <w:r>
        <w:t xml:space="preserve"> </w:t>
      </w:r>
    </w:p>
    <w:p w14:paraId="668D4631" w14:textId="77777777" w:rsidR="00B55700" w:rsidRDefault="00B55700" w:rsidP="00B55700"/>
    <w:p w14:paraId="54CAC507" w14:textId="77777777" w:rsidR="00B55700" w:rsidRDefault="00B55700" w:rsidP="00B55700">
      <w:r>
        <w:t>I have begun to categorize interventions as either non-discretionary or discretionary. In my training in the American Balint culture I would classify non-discretionary interventions as those that are necessary to promote basic group functioning. If these interventions are not made the group process will suffer. Examples are those interventions listed below that maintain basic group structure, frame, and safety.</w:t>
      </w:r>
    </w:p>
    <w:p w14:paraId="01F587B8" w14:textId="77777777" w:rsidR="00B55700" w:rsidRDefault="00B55700" w:rsidP="00B55700"/>
    <w:p w14:paraId="43646015" w14:textId="77777777" w:rsidR="00B55700" w:rsidRDefault="00B55700" w:rsidP="00B55700">
      <w:pPr>
        <w:pStyle w:val="a3"/>
        <w:ind w:left="2160"/>
      </w:pPr>
      <w:r>
        <w:t>Most all structural interventions (when using push back)</w:t>
      </w:r>
    </w:p>
    <w:p w14:paraId="7CC6CEFC" w14:textId="77777777" w:rsidR="00B55700" w:rsidRDefault="00B55700" w:rsidP="00B55700">
      <w:pPr>
        <w:pStyle w:val="a3"/>
        <w:ind w:left="2880"/>
      </w:pPr>
      <w:r>
        <w:t>Calling for the case</w:t>
      </w:r>
    </w:p>
    <w:p w14:paraId="71FF83B8" w14:textId="77777777" w:rsidR="00B55700" w:rsidRDefault="00B55700" w:rsidP="00B55700">
      <w:pPr>
        <w:pStyle w:val="a3"/>
        <w:ind w:left="2880"/>
      </w:pPr>
      <w:r>
        <w:t>Asking for questions of fact and limiting the questions to facts</w:t>
      </w:r>
    </w:p>
    <w:p w14:paraId="726D1284" w14:textId="77777777" w:rsidR="00B55700" w:rsidRDefault="00B55700" w:rsidP="00B55700">
      <w:pPr>
        <w:pStyle w:val="a3"/>
        <w:ind w:left="2880"/>
      </w:pPr>
      <w:r>
        <w:t>Suggesting the presenter rest</w:t>
      </w:r>
    </w:p>
    <w:p w14:paraId="5D6C48B7" w14:textId="77777777" w:rsidR="00372CBE" w:rsidRDefault="00372CBE" w:rsidP="00B55700">
      <w:pPr>
        <w:pStyle w:val="a3"/>
        <w:ind w:left="2880"/>
      </w:pPr>
      <w:r>
        <w:lastRenderedPageBreak/>
        <w:t>Providing enough time for the group to discuss the case</w:t>
      </w:r>
    </w:p>
    <w:p w14:paraId="1E2E6A93" w14:textId="77777777" w:rsidR="00B55700" w:rsidRDefault="00B55700" w:rsidP="00B55700">
      <w:pPr>
        <w:pStyle w:val="a3"/>
        <w:ind w:left="2880"/>
      </w:pPr>
      <w:r>
        <w:t>Bringing the presenter back in</w:t>
      </w:r>
    </w:p>
    <w:p w14:paraId="75BB57ED" w14:textId="77777777" w:rsidR="00B55700" w:rsidRDefault="00B55700" w:rsidP="00B55700">
      <w:pPr>
        <w:pStyle w:val="a3"/>
        <w:ind w:left="2880"/>
      </w:pPr>
      <w:r>
        <w:t>Ending the group</w:t>
      </w:r>
    </w:p>
    <w:p w14:paraId="2F2906BA" w14:textId="77777777" w:rsidR="00B55700" w:rsidRDefault="00B55700" w:rsidP="00B55700">
      <w:pPr>
        <w:pStyle w:val="a3"/>
        <w:ind w:left="2160"/>
      </w:pPr>
      <w:r>
        <w:t>Keeping the frame</w:t>
      </w:r>
    </w:p>
    <w:p w14:paraId="53F3C923" w14:textId="77777777" w:rsidR="00B55700" w:rsidRDefault="00B55700" w:rsidP="00B55700">
      <w:pPr>
        <w:pStyle w:val="a3"/>
        <w:ind w:left="2880"/>
      </w:pPr>
      <w:r>
        <w:t>Starting and ending the group on time</w:t>
      </w:r>
    </w:p>
    <w:p w14:paraId="4A782D10" w14:textId="77777777" w:rsidR="00B55700" w:rsidRDefault="00B55700" w:rsidP="00B55700">
      <w:pPr>
        <w:pStyle w:val="a3"/>
        <w:ind w:left="2880"/>
      </w:pPr>
      <w:r>
        <w:t>Keeping intrusions out</w:t>
      </w:r>
    </w:p>
    <w:p w14:paraId="7F65A77C" w14:textId="77777777" w:rsidR="00B55700" w:rsidRDefault="00B55700" w:rsidP="00B55700">
      <w:pPr>
        <w:pStyle w:val="a3"/>
        <w:ind w:left="2880"/>
      </w:pPr>
      <w:r>
        <w:t>Keeping to one case and presenter’s viewpoint if multiple group members know the patient</w:t>
      </w:r>
    </w:p>
    <w:p w14:paraId="79D736BB" w14:textId="77777777" w:rsidR="00B55700" w:rsidRDefault="00B55700" w:rsidP="00B55700">
      <w:pPr>
        <w:pStyle w:val="a3"/>
        <w:ind w:left="2160"/>
      </w:pPr>
      <w:r>
        <w:t>Safety</w:t>
      </w:r>
    </w:p>
    <w:p w14:paraId="505B9958" w14:textId="77777777" w:rsidR="00B55700" w:rsidRDefault="00B55700" w:rsidP="00B55700">
      <w:pPr>
        <w:pStyle w:val="a3"/>
        <w:ind w:left="2880"/>
      </w:pPr>
      <w:r>
        <w:t>Limiting critical questioning or comments</w:t>
      </w:r>
    </w:p>
    <w:p w14:paraId="6516B715" w14:textId="77777777" w:rsidR="00B55700" w:rsidRDefault="00B55700" w:rsidP="00B55700">
      <w:pPr>
        <w:ind w:left="2520" w:firstLine="360"/>
      </w:pPr>
      <w:r>
        <w:t>Limiting group members pushing for self- disclosure</w:t>
      </w:r>
    </w:p>
    <w:p w14:paraId="337A92F8" w14:textId="77777777" w:rsidR="00B55700" w:rsidRDefault="00B55700" w:rsidP="00B55700">
      <w:pPr>
        <w:pStyle w:val="a3"/>
        <w:ind w:left="2880"/>
      </w:pPr>
      <w:r>
        <w:t>Limiting focus on the presenter’s psychological dynamics</w:t>
      </w:r>
    </w:p>
    <w:p w14:paraId="006514FB" w14:textId="77777777" w:rsidR="00B55700" w:rsidRDefault="00B55700" w:rsidP="00B55700">
      <w:pPr>
        <w:pStyle w:val="a3"/>
        <w:ind w:left="2880"/>
      </w:pPr>
      <w:r>
        <w:t>Helping group members take responsibility for their own thoughts and feelings</w:t>
      </w:r>
    </w:p>
    <w:p w14:paraId="40E28F57" w14:textId="77777777" w:rsidR="00B55700" w:rsidRDefault="00B55700" w:rsidP="00B55700">
      <w:pPr>
        <w:pStyle w:val="a3"/>
        <w:ind w:left="0"/>
      </w:pPr>
    </w:p>
    <w:p w14:paraId="4EA1D240" w14:textId="45FE8282" w:rsidR="00805680" w:rsidRDefault="00805680" w:rsidP="00805680">
      <w:r>
        <w:t xml:space="preserve">With some “non-discretionary” interventions it is clear from the structure of the Balint method, or architecture as </w:t>
      </w:r>
      <w:proofErr w:type="spellStart"/>
      <w:r>
        <w:t>Sternlieb</w:t>
      </w:r>
      <w:proofErr w:type="spellEnd"/>
      <w:r>
        <w:t xml:space="preserve"> (</w:t>
      </w:r>
      <w:r w:rsidR="00E60036">
        <w:t>2011</w:t>
      </w:r>
      <w:r>
        <w:t>) called it, that it is the role of the leader to direct the group process. With other “non-discretionary” interventions when the frame or group safety is in danger of being violated a Balint red light goes off and the need for intervention is clear. Intuitive, automatic reactions serve well in those situations. The only caveat is thinking about how to phrase those interventions in order not to shame a member or the group. With practice that also becomes more automatic.</w:t>
      </w:r>
    </w:p>
    <w:p w14:paraId="310BBAB7" w14:textId="77777777" w:rsidR="00805680" w:rsidRDefault="00805680" w:rsidP="00B55700">
      <w:pPr>
        <w:pStyle w:val="a3"/>
        <w:ind w:left="0"/>
      </w:pPr>
    </w:p>
    <w:p w14:paraId="2A06D3AD" w14:textId="77777777" w:rsidR="00805680" w:rsidRDefault="00805680" w:rsidP="00B55700">
      <w:pPr>
        <w:pStyle w:val="a3"/>
        <w:ind w:left="0"/>
      </w:pPr>
    </w:p>
    <w:p w14:paraId="62F35B7A" w14:textId="77777777" w:rsidR="00B55700" w:rsidRDefault="00B55700" w:rsidP="00B55700">
      <w:pPr>
        <w:pStyle w:val="a3"/>
        <w:ind w:left="0"/>
      </w:pPr>
      <w:r>
        <w:t>Discretionary interventions are interventions that enrich the group’s understanding of the case, emotional reactions, and relationship issues. The group will function simply fine without these interventions, but the depth of understanding might suffer. Examples of reasons for discretionary interventions are as follows:</w:t>
      </w:r>
    </w:p>
    <w:p w14:paraId="2D094A09" w14:textId="77777777" w:rsidR="00B55700" w:rsidRDefault="00B55700" w:rsidP="00B55700">
      <w:pPr>
        <w:pStyle w:val="a3"/>
        <w:ind w:left="0"/>
      </w:pPr>
    </w:p>
    <w:p w14:paraId="586A18A1" w14:textId="77777777" w:rsidR="00B55700" w:rsidRDefault="00B55700" w:rsidP="00B55700">
      <w:pPr>
        <w:pStyle w:val="a3"/>
        <w:ind w:left="2160"/>
      </w:pPr>
      <w:r>
        <w:t>Balancing representation of the provider and patient</w:t>
      </w:r>
    </w:p>
    <w:p w14:paraId="793FBEC3" w14:textId="77777777" w:rsidR="00B55700" w:rsidRDefault="00B55700" w:rsidP="00B55700">
      <w:pPr>
        <w:pStyle w:val="a3"/>
        <w:ind w:left="2160"/>
      </w:pPr>
      <w:r>
        <w:t>Commenting on the emotional tenure of the group or case</w:t>
      </w:r>
    </w:p>
    <w:p w14:paraId="1D863CB9" w14:textId="77777777" w:rsidR="00B55700" w:rsidRDefault="00B55700" w:rsidP="00B55700">
      <w:pPr>
        <w:pStyle w:val="a3"/>
        <w:ind w:left="2160"/>
      </w:pPr>
      <w:r>
        <w:t>Moving the group away from abstract discussion</w:t>
      </w:r>
    </w:p>
    <w:p w14:paraId="41D43EAD" w14:textId="77777777" w:rsidR="00B55700" w:rsidRDefault="00B55700" w:rsidP="00B55700">
      <w:pPr>
        <w:pStyle w:val="a3"/>
        <w:ind w:left="2160"/>
      </w:pPr>
      <w:r>
        <w:t>Noticing the presenter’s dilemma and words in the presentation to focus the group</w:t>
      </w:r>
    </w:p>
    <w:p w14:paraId="067558E7" w14:textId="77777777" w:rsidR="00B55700" w:rsidRDefault="00B55700" w:rsidP="00B55700">
      <w:pPr>
        <w:pStyle w:val="a3"/>
        <w:ind w:left="2160"/>
      </w:pPr>
      <w:r>
        <w:t>Highlighting metaphors</w:t>
      </w:r>
    </w:p>
    <w:p w14:paraId="5EE05887" w14:textId="77777777" w:rsidR="00B55700" w:rsidRDefault="00B55700" w:rsidP="00B55700">
      <w:pPr>
        <w:pStyle w:val="a3"/>
        <w:ind w:left="2160"/>
      </w:pPr>
      <w:r>
        <w:t>Allowing for colleague or supervisor relationships as the central element of a case</w:t>
      </w:r>
    </w:p>
    <w:p w14:paraId="5FB11F3D" w14:textId="77777777" w:rsidR="00B55700" w:rsidRDefault="00B55700" w:rsidP="00B55700">
      <w:pPr>
        <w:pStyle w:val="a3"/>
        <w:ind w:left="2160"/>
      </w:pPr>
      <w:r>
        <w:t>Breaking or allowing silence</w:t>
      </w:r>
    </w:p>
    <w:p w14:paraId="29084C17" w14:textId="77777777" w:rsidR="00B55700" w:rsidRDefault="00B55700" w:rsidP="00B55700">
      <w:pPr>
        <w:pStyle w:val="a3"/>
        <w:ind w:left="2160"/>
      </w:pPr>
      <w:r>
        <w:t>Balancing participation by group members</w:t>
      </w:r>
    </w:p>
    <w:p w14:paraId="3E5BDB88" w14:textId="77777777" w:rsidR="00B55700" w:rsidRDefault="00B55700" w:rsidP="00B55700">
      <w:pPr>
        <w:pStyle w:val="a3"/>
        <w:ind w:left="0"/>
      </w:pPr>
    </w:p>
    <w:p w14:paraId="113CDE9D" w14:textId="77777777" w:rsidR="00B55700" w:rsidRDefault="00B55700" w:rsidP="00B55700"/>
    <w:p w14:paraId="72DAD028" w14:textId="72C93116" w:rsidR="00B55700" w:rsidRDefault="00B55700" w:rsidP="00B55700">
      <w:pPr>
        <w:rPr>
          <w:rFonts w:ascii="Times New Roman" w:eastAsia="Times New Roman" w:hAnsi="Times New Roman" w:cs="Times New Roman"/>
        </w:rPr>
      </w:pPr>
      <w:r>
        <w:t>“</w:t>
      </w:r>
      <w:r w:rsidR="00805680">
        <w:t>D</w:t>
      </w:r>
      <w:r>
        <w:t xml:space="preserve">iscretionary” interventions may, or may not, optimize the richness and understanding that comes from the case presentation and discussion. </w:t>
      </w:r>
      <w:r w:rsidRPr="640A6CFA">
        <w:rPr>
          <w:rFonts w:ascii="Times New Roman" w:eastAsia="Times New Roman" w:hAnsi="Times New Roman" w:cs="Times New Roman"/>
        </w:rPr>
        <w:t>Klein</w:t>
      </w:r>
      <w:r w:rsidR="00353D6A">
        <w:rPr>
          <w:rFonts w:ascii="Times New Roman" w:eastAsia="Times New Roman" w:hAnsi="Times New Roman" w:cs="Times New Roman"/>
        </w:rPr>
        <w:t xml:space="preserve"> </w:t>
      </w:r>
      <w:r w:rsidR="004108D0" w:rsidRPr="640A6CFA">
        <w:rPr>
          <w:rFonts w:ascii="Times New Roman" w:eastAsia="Times New Roman" w:hAnsi="Times New Roman" w:cs="Times New Roman"/>
        </w:rPr>
        <w:t>(</w:t>
      </w:r>
      <w:r w:rsidR="00353D6A">
        <w:rPr>
          <w:rFonts w:ascii="Times New Roman" w:eastAsia="Times New Roman" w:hAnsi="Times New Roman" w:cs="Times New Roman"/>
        </w:rPr>
        <w:t>2003</w:t>
      </w:r>
      <w:r w:rsidR="004108D0" w:rsidRPr="640A6CFA">
        <w:rPr>
          <w:rFonts w:ascii="Times New Roman" w:eastAsia="Times New Roman" w:hAnsi="Times New Roman" w:cs="Times New Roman"/>
        </w:rPr>
        <w:t>)</w:t>
      </w:r>
      <w:r w:rsidRPr="640A6CFA">
        <w:rPr>
          <w:rFonts w:ascii="Times New Roman" w:eastAsia="Times New Roman" w:hAnsi="Times New Roman" w:cs="Times New Roman"/>
        </w:rPr>
        <w:t xml:space="preserve"> describes intuitive functioning as depending on accurate pattern recognition. Data is perceived from multiple inputs in a holistic </w:t>
      </w:r>
      <w:r w:rsidRPr="640A6CFA">
        <w:rPr>
          <w:rFonts w:ascii="Times New Roman" w:eastAsia="Times New Roman" w:hAnsi="Times New Roman" w:cs="Times New Roman"/>
        </w:rPr>
        <w:lastRenderedPageBreak/>
        <w:t>format which leads to the ability to make rapid judgments</w:t>
      </w:r>
      <w:r w:rsidR="00805680">
        <w:rPr>
          <w:rFonts w:ascii="Times New Roman" w:eastAsia="Times New Roman" w:hAnsi="Times New Roman" w:cs="Times New Roman"/>
        </w:rPr>
        <w:t xml:space="preserve">. </w:t>
      </w:r>
      <w:r w:rsidRPr="00356AEC">
        <w:rPr>
          <w:rFonts w:ascii="Times New Roman" w:eastAsia="Times New Roman" w:hAnsi="Times New Roman" w:cs="Times New Roman"/>
        </w:rPr>
        <w:t>However, a range of variables increase the salience of information used for intuitive judgments, not the least of which are 'hot' states of high emotional and motivational arousal</w:t>
      </w:r>
      <w:r w:rsidR="00353D6A">
        <w:rPr>
          <w:rFonts w:ascii="Times New Roman" w:eastAsia="Times New Roman" w:hAnsi="Times New Roman" w:cs="Times New Roman"/>
        </w:rPr>
        <w:t xml:space="preserve"> </w:t>
      </w:r>
      <w:r w:rsidR="004108D0">
        <w:rPr>
          <w:rFonts w:ascii="Times New Roman" w:eastAsia="Times New Roman" w:hAnsi="Times New Roman" w:cs="Times New Roman"/>
        </w:rPr>
        <w:t>(</w:t>
      </w:r>
      <w:r w:rsidR="00353D6A">
        <w:rPr>
          <w:rFonts w:ascii="Times New Roman" w:eastAsia="Times New Roman" w:hAnsi="Times New Roman" w:cs="Times New Roman"/>
        </w:rPr>
        <w:t>Kahneman 2003</w:t>
      </w:r>
      <w:r w:rsidR="004108D0">
        <w:rPr>
          <w:rFonts w:ascii="Times New Roman" w:eastAsia="Times New Roman" w:hAnsi="Times New Roman" w:cs="Times New Roman"/>
        </w:rPr>
        <w:t>)</w:t>
      </w:r>
      <w:r w:rsidR="00353D6A">
        <w:rPr>
          <w:rFonts w:ascii="Times New Roman" w:eastAsia="Times New Roman" w:hAnsi="Times New Roman" w:cs="Times New Roman"/>
        </w:rPr>
        <w:t>.</w:t>
      </w:r>
      <w:r>
        <w:rPr>
          <w:rFonts w:ascii="Times New Roman" w:eastAsia="Times New Roman" w:hAnsi="Times New Roman" w:cs="Times New Roman"/>
        </w:rPr>
        <w:t xml:space="preserve"> How do I know if my thinking is a product of the case and the needs of the group or my own emotional reaction coming from somewhere else?</w:t>
      </w:r>
    </w:p>
    <w:p w14:paraId="4F70781B" w14:textId="77777777" w:rsidR="00B55700" w:rsidRPr="00356AEC" w:rsidRDefault="00B55700" w:rsidP="00B55700">
      <w:pPr>
        <w:rPr>
          <w:rFonts w:ascii="Times New Roman" w:eastAsia="Times New Roman" w:hAnsi="Times New Roman" w:cs="Times New Roman"/>
        </w:rPr>
      </w:pPr>
    </w:p>
    <w:p w14:paraId="28BC7B1A" w14:textId="2B6D18BF" w:rsidR="00B55700" w:rsidRDefault="00B55700" w:rsidP="00B55700">
      <w:pPr>
        <w:rPr>
          <w:rFonts w:ascii="Times New Roman" w:eastAsia="Times New Roman" w:hAnsi="Times New Roman" w:cs="Times New Roman"/>
        </w:rPr>
      </w:pPr>
      <w:r w:rsidRPr="640A6CFA">
        <w:rPr>
          <w:rFonts w:ascii="Times New Roman" w:eastAsia="Times New Roman" w:hAnsi="Times New Roman" w:cs="Times New Roman"/>
        </w:rPr>
        <w:t xml:space="preserve">To function optimally, a Balint leader needs to be sufficiently self-aware to monitor use of the intuitive system, have some sense when emotional reactions are playing a part in the situation, and to know when to slow down and effectively bring the reasoning system into action. Novack et al </w:t>
      </w:r>
      <w:r w:rsidR="00E526AB">
        <w:rPr>
          <w:rFonts w:ascii="Times New Roman" w:eastAsia="Times New Roman" w:hAnsi="Times New Roman" w:cs="Times New Roman"/>
        </w:rPr>
        <w:t>(1999)</w:t>
      </w:r>
      <w:r w:rsidRPr="640A6CFA">
        <w:rPr>
          <w:rFonts w:ascii="Times New Roman" w:eastAsia="Times New Roman" w:hAnsi="Times New Roman" w:cs="Times New Roman"/>
        </w:rPr>
        <w:t xml:space="preserve"> call</w:t>
      </w:r>
      <w:r w:rsidR="00E526AB">
        <w:rPr>
          <w:rFonts w:ascii="Times New Roman" w:eastAsia="Times New Roman" w:hAnsi="Times New Roman" w:cs="Times New Roman"/>
        </w:rPr>
        <w:t>ed</w:t>
      </w:r>
      <w:r w:rsidRPr="640A6CFA">
        <w:rPr>
          <w:rFonts w:ascii="Times New Roman" w:eastAsia="Times New Roman" w:hAnsi="Times New Roman" w:cs="Times New Roman"/>
        </w:rPr>
        <w:t xml:space="preserve"> this 'reflection-in-action'.</w:t>
      </w:r>
    </w:p>
    <w:p w14:paraId="61CB5F5F" w14:textId="77777777" w:rsidR="00B55700" w:rsidRPr="00356AEC" w:rsidRDefault="00B55700" w:rsidP="00B55700">
      <w:pPr>
        <w:rPr>
          <w:rFonts w:ascii="Times New Roman" w:eastAsia="Times New Roman" w:hAnsi="Times New Roman" w:cs="Times New Roman"/>
        </w:rPr>
      </w:pPr>
    </w:p>
    <w:p w14:paraId="5216B1ED" w14:textId="3E321786" w:rsidR="00B55700" w:rsidRDefault="00B55700" w:rsidP="00B55700">
      <w:pPr>
        <w:rPr>
          <w:rFonts w:ascii="Times New Roman" w:eastAsia="Times New Roman" w:hAnsi="Times New Roman" w:cs="Times New Roman"/>
        </w:rPr>
      </w:pPr>
      <w:r w:rsidRPr="009D392B">
        <w:rPr>
          <w:rFonts w:ascii="Times New Roman" w:hAnsi="Times New Roman" w:cs="Times New Roman"/>
        </w:rPr>
        <w:t>When an intervention comes into consciousness, hopefully it brings the reasoning system to the fore</w:t>
      </w:r>
      <w:r>
        <w:t xml:space="preserve">. </w:t>
      </w:r>
      <w:r w:rsidRPr="640A6CFA">
        <w:rPr>
          <w:rFonts w:ascii="Times New Roman" w:eastAsia="Times New Roman" w:hAnsi="Times New Roman" w:cs="Times New Roman"/>
        </w:rPr>
        <w:t xml:space="preserve">Ideally the function of the reasoning system is to monitor the use of intuition and deliberately override a quick, </w:t>
      </w:r>
      <w:r w:rsidR="00886053">
        <w:rPr>
          <w:rFonts w:ascii="Times New Roman" w:eastAsia="Times New Roman" w:hAnsi="Times New Roman" w:cs="Times New Roman"/>
        </w:rPr>
        <w:t xml:space="preserve">typically used </w:t>
      </w:r>
      <w:r w:rsidRPr="640A6CFA">
        <w:rPr>
          <w:rFonts w:ascii="Times New Roman" w:eastAsia="Times New Roman" w:hAnsi="Times New Roman" w:cs="Times New Roman"/>
        </w:rPr>
        <w:t xml:space="preserve">but inaccurate response. However, the corrective operations of the 'reasoning system' may be impaired by such factors as time pressure, concurrent involvement in a different cognitive task, 'morning people' performing the task in the evening, 'evening people' performing the task in the morning, or even by being in a good mood. </w:t>
      </w:r>
    </w:p>
    <w:p w14:paraId="4BB4B8F3" w14:textId="77777777" w:rsidR="00B55700" w:rsidRDefault="00B55700" w:rsidP="00B55700">
      <w:pPr>
        <w:rPr>
          <w:rFonts w:ascii="Times New Roman" w:eastAsia="Times New Roman" w:hAnsi="Times New Roman" w:cs="Times New Roman"/>
        </w:rPr>
      </w:pPr>
    </w:p>
    <w:p w14:paraId="6F2812AC" w14:textId="77777777" w:rsidR="00B55700" w:rsidRDefault="00B55700" w:rsidP="00B55700">
      <w:pPr>
        <w:rPr>
          <w:rFonts w:ascii="Times New Roman" w:eastAsia="Times New Roman" w:hAnsi="Times New Roman" w:cs="Times New Roman"/>
        </w:rPr>
      </w:pPr>
      <w:r w:rsidRPr="640A6CFA">
        <w:rPr>
          <w:rFonts w:ascii="Times New Roman" w:eastAsia="Times New Roman" w:hAnsi="Times New Roman" w:cs="Times New Roman"/>
        </w:rPr>
        <w:t xml:space="preserve">As I consider this dilemma, I have certain questions somewhere in mind that help determine whether to make a discretionary intervention. </w:t>
      </w:r>
    </w:p>
    <w:p w14:paraId="6F614CDD" w14:textId="77777777" w:rsidR="00B55700" w:rsidRDefault="00B55700" w:rsidP="00B55700">
      <w:pPr>
        <w:rPr>
          <w:rFonts w:ascii="Times New Roman" w:eastAsia="Times New Roman" w:hAnsi="Times New Roman" w:cs="Times New Roman"/>
        </w:rPr>
      </w:pPr>
    </w:p>
    <w:p w14:paraId="02CEA836" w14:textId="77777777" w:rsidR="00B55700" w:rsidRDefault="00B55700" w:rsidP="00B55700">
      <w:pPr>
        <w:pStyle w:val="a3"/>
        <w:ind w:left="2160"/>
      </w:pPr>
      <w:r>
        <w:t>Is the group working well without me?</w:t>
      </w:r>
    </w:p>
    <w:p w14:paraId="4D17BEB6" w14:textId="77777777" w:rsidR="00B55700" w:rsidRDefault="00B55700" w:rsidP="00B55700">
      <w:pPr>
        <w:pStyle w:val="a3"/>
        <w:ind w:left="2160"/>
      </w:pPr>
      <w:r>
        <w:t>Does the group need to develop a sense of its own agency?</w:t>
      </w:r>
    </w:p>
    <w:p w14:paraId="22FC3492" w14:textId="77777777" w:rsidR="00B55700" w:rsidRDefault="00B55700" w:rsidP="00B55700">
      <w:pPr>
        <w:pStyle w:val="a3"/>
        <w:ind w:left="2160"/>
      </w:pPr>
      <w:r>
        <w:t>How important is the intervention to the understanding of the case?</w:t>
      </w:r>
    </w:p>
    <w:p w14:paraId="40799776" w14:textId="77777777" w:rsidR="00B55700" w:rsidRDefault="00B55700" w:rsidP="00B55700">
      <w:pPr>
        <w:pStyle w:val="a3"/>
        <w:ind w:left="2160"/>
      </w:pPr>
      <w:r>
        <w:t>Is the intervention for me or for the group?</w:t>
      </w:r>
    </w:p>
    <w:p w14:paraId="13B45C37" w14:textId="77777777" w:rsidR="00B55700" w:rsidRDefault="00B55700" w:rsidP="00B55700">
      <w:pPr>
        <w:pStyle w:val="a3"/>
        <w:ind w:left="2160"/>
      </w:pPr>
      <w:r>
        <w:t>Early in the group – will the group get there on its own?</w:t>
      </w:r>
    </w:p>
    <w:p w14:paraId="0942755D" w14:textId="77777777" w:rsidR="00B55700" w:rsidRDefault="00B55700" w:rsidP="00B55700">
      <w:pPr>
        <w:pStyle w:val="a3"/>
        <w:ind w:left="2160"/>
      </w:pPr>
      <w:r>
        <w:t>Late in the group – is there time for the group to change focus?</w:t>
      </w:r>
    </w:p>
    <w:p w14:paraId="559D19EB" w14:textId="77777777" w:rsidR="00B55700" w:rsidRDefault="00B55700" w:rsidP="00B55700">
      <w:pPr>
        <w:pStyle w:val="a3"/>
        <w:ind w:left="2160"/>
      </w:pPr>
      <w:r>
        <w:t>Is one member so totally dominating or the group using that member to the detriment of process?</w:t>
      </w:r>
    </w:p>
    <w:p w14:paraId="06F841DD" w14:textId="77777777" w:rsidR="00B55700" w:rsidRDefault="00B55700" w:rsidP="00B55700">
      <w:pPr>
        <w:pStyle w:val="a3"/>
        <w:ind w:left="2160"/>
      </w:pPr>
      <w:r>
        <w:t>Will a group member relate some introduction of personal information or another case to the case presented?</w:t>
      </w:r>
    </w:p>
    <w:p w14:paraId="7D036790" w14:textId="659761CC" w:rsidR="00B55700" w:rsidRDefault="00B55700" w:rsidP="00B55700">
      <w:pPr>
        <w:pStyle w:val="a3"/>
        <w:ind w:left="2160"/>
      </w:pPr>
      <w:r>
        <w:t xml:space="preserve">Does a little advice giving </w:t>
      </w:r>
      <w:r w:rsidR="00574649">
        <w:t xml:space="preserve">from a member </w:t>
      </w:r>
      <w:r>
        <w:t xml:space="preserve">help </w:t>
      </w:r>
      <w:r w:rsidR="00574649">
        <w:t>that</w:t>
      </w:r>
      <w:r>
        <w:t xml:space="preserve"> group member get involved?</w:t>
      </w:r>
    </w:p>
    <w:p w14:paraId="06A90CEE" w14:textId="77777777" w:rsidR="00B55700" w:rsidRDefault="00B55700" w:rsidP="00B55700">
      <w:pPr>
        <w:pStyle w:val="a3"/>
        <w:ind w:left="2160"/>
      </w:pPr>
      <w:r>
        <w:t>Is this silence helpful or not?</w:t>
      </w:r>
    </w:p>
    <w:p w14:paraId="1E61C5A1" w14:textId="77777777" w:rsidR="00B55700" w:rsidRDefault="00B55700" w:rsidP="00B55700">
      <w:pPr>
        <w:pStyle w:val="a3"/>
        <w:ind w:left="2160"/>
      </w:pPr>
      <w:r>
        <w:t>Is support with calm presence enough or does the group need more?</w:t>
      </w:r>
    </w:p>
    <w:p w14:paraId="27E769B0" w14:textId="77777777" w:rsidR="00B55700" w:rsidRDefault="00B55700" w:rsidP="00B55700">
      <w:pPr>
        <w:rPr>
          <w:rFonts w:ascii="Times New Roman" w:eastAsia="Times New Roman" w:hAnsi="Times New Roman" w:cs="Times New Roman"/>
        </w:rPr>
      </w:pPr>
    </w:p>
    <w:p w14:paraId="73CE4140" w14:textId="77777777" w:rsidR="00B55700" w:rsidRPr="00356AEC" w:rsidRDefault="00B55700" w:rsidP="00B55700">
      <w:pPr>
        <w:rPr>
          <w:rFonts w:ascii="Times New Roman" w:eastAsia="Times New Roman" w:hAnsi="Times New Roman" w:cs="Times New Roman"/>
        </w:rPr>
      </w:pPr>
    </w:p>
    <w:p w14:paraId="4AAA3CEB" w14:textId="412EBAEE" w:rsidR="004108D0" w:rsidRDefault="00B55700" w:rsidP="00B55700">
      <w:pPr>
        <w:rPr>
          <w:rFonts w:ascii="Times New Roman" w:eastAsia="Times New Roman" w:hAnsi="Times New Roman" w:cs="Times New Roman"/>
        </w:rPr>
      </w:pPr>
      <w:r w:rsidRPr="640A6CFA">
        <w:rPr>
          <w:rFonts w:ascii="Times New Roman" w:eastAsia="Times New Roman" w:hAnsi="Times New Roman" w:cs="Times New Roman"/>
        </w:rPr>
        <w:t xml:space="preserve">When I think of an </w:t>
      </w:r>
      <w:r w:rsidR="00001E4C" w:rsidRPr="640A6CFA">
        <w:rPr>
          <w:rFonts w:ascii="Times New Roman" w:eastAsia="Times New Roman" w:hAnsi="Times New Roman" w:cs="Times New Roman"/>
        </w:rPr>
        <w:t>intervention,</w:t>
      </w:r>
      <w:r w:rsidRPr="640A6CFA">
        <w:rPr>
          <w:rFonts w:ascii="Times New Roman" w:eastAsia="Times New Roman" w:hAnsi="Times New Roman" w:cs="Times New Roman"/>
        </w:rPr>
        <w:t xml:space="preserve"> I cannot say I go through those questions systematically. The consideration of those questions has become </w:t>
      </w:r>
      <w:r w:rsidR="009A0591">
        <w:rPr>
          <w:rFonts w:ascii="Times New Roman" w:eastAsia="Times New Roman" w:hAnsi="Times New Roman" w:cs="Times New Roman"/>
        </w:rPr>
        <w:t xml:space="preserve">relatively </w:t>
      </w:r>
      <w:r w:rsidRPr="640A6CFA">
        <w:rPr>
          <w:rFonts w:ascii="Times New Roman" w:eastAsia="Times New Roman" w:hAnsi="Times New Roman" w:cs="Times New Roman"/>
        </w:rPr>
        <w:t>automatic. I usually repeat the intervention to myself a couple of times to see how it sounds and whether it makes sense. Borrell-</w:t>
      </w:r>
      <w:proofErr w:type="spellStart"/>
      <w:r w:rsidRPr="640A6CFA">
        <w:rPr>
          <w:rFonts w:ascii="Times New Roman" w:eastAsia="Times New Roman" w:hAnsi="Times New Roman" w:cs="Times New Roman"/>
        </w:rPr>
        <w:t>Carrio</w:t>
      </w:r>
      <w:proofErr w:type="spellEnd"/>
      <w:r w:rsidRPr="640A6CFA">
        <w:rPr>
          <w:rFonts w:ascii="Times New Roman" w:eastAsia="Times New Roman" w:hAnsi="Times New Roman" w:cs="Times New Roman"/>
        </w:rPr>
        <w:t xml:space="preserve"> et a</w:t>
      </w:r>
      <w:r w:rsidR="004108D0" w:rsidRPr="640A6CFA">
        <w:rPr>
          <w:rFonts w:ascii="Times New Roman" w:eastAsia="Times New Roman" w:hAnsi="Times New Roman" w:cs="Times New Roman"/>
        </w:rPr>
        <w:t>l (</w:t>
      </w:r>
      <w:r w:rsidR="00353D6A">
        <w:rPr>
          <w:rFonts w:ascii="Times New Roman" w:eastAsia="Times New Roman" w:hAnsi="Times New Roman" w:cs="Times New Roman"/>
        </w:rPr>
        <w:t>2004</w:t>
      </w:r>
      <w:r w:rsidR="004108D0" w:rsidRPr="640A6CFA">
        <w:rPr>
          <w:rFonts w:ascii="Times New Roman" w:eastAsia="Times New Roman" w:hAnsi="Times New Roman" w:cs="Times New Roman"/>
        </w:rPr>
        <w:t>)</w:t>
      </w:r>
      <w:r w:rsidRPr="640A6CFA">
        <w:rPr>
          <w:rFonts w:ascii="Times New Roman" w:eastAsia="Times New Roman" w:hAnsi="Times New Roman" w:cs="Times New Roman"/>
        </w:rPr>
        <w:t xml:space="preserve"> describe the process of diagnosis and treatment as creating a clinical tension which is heightened by uncertainty and relieved with the acceptance of a diagnosis and plan. This tension can be difficult and lead to premature closure or over reliance on intuitive automatic processes. It is common in my leading Balint groups to feel the same tension with uncertainty. </w:t>
      </w:r>
      <w:r w:rsidR="004108D0" w:rsidRPr="640A6CFA">
        <w:rPr>
          <w:rFonts w:ascii="Times New Roman" w:eastAsia="Times New Roman" w:hAnsi="Times New Roman" w:cs="Times New Roman"/>
        </w:rPr>
        <w:t>Hopefully, t</w:t>
      </w:r>
      <w:r w:rsidR="00460717" w:rsidRPr="640A6CFA">
        <w:rPr>
          <w:rFonts w:ascii="Times New Roman" w:eastAsia="Times New Roman" w:hAnsi="Times New Roman" w:cs="Times New Roman"/>
        </w:rPr>
        <w:t>he uncertainty is helpful in calling on the reasoning system if it is not paralyzing</w:t>
      </w:r>
      <w:r w:rsidRPr="640A6CFA">
        <w:rPr>
          <w:rFonts w:ascii="Times New Roman" w:eastAsia="Times New Roman" w:hAnsi="Times New Roman" w:cs="Times New Roman"/>
        </w:rPr>
        <w:t xml:space="preserve">. </w:t>
      </w:r>
    </w:p>
    <w:p w14:paraId="05F9F094" w14:textId="717E252B" w:rsidR="00CB1445" w:rsidRDefault="00CB1445" w:rsidP="00B55700">
      <w:pPr>
        <w:rPr>
          <w:rFonts w:ascii="Times New Roman" w:eastAsia="Times New Roman" w:hAnsi="Times New Roman" w:cs="Times New Roman"/>
        </w:rPr>
      </w:pPr>
    </w:p>
    <w:p w14:paraId="3AD4DFF3" w14:textId="2C7386CB" w:rsidR="00CB1445" w:rsidRDefault="00CB1445" w:rsidP="00CB1445">
      <w:pPr>
        <w:rPr>
          <w:rFonts w:ascii="Times New Roman" w:eastAsia="Times New Roman" w:hAnsi="Times New Roman" w:cs="Times New Roman"/>
          <w:color w:val="000000"/>
        </w:rPr>
      </w:pPr>
      <w:r w:rsidRPr="009D392B">
        <w:rPr>
          <w:rFonts w:ascii="Times New Roman" w:eastAsia="Times New Roman" w:hAnsi="Times New Roman" w:cs="Times New Roman"/>
          <w:color w:val="000000"/>
        </w:rPr>
        <w:t>Here is a</w:t>
      </w:r>
      <w:r w:rsidRPr="00CB1445">
        <w:rPr>
          <w:rFonts w:ascii="Verdana" w:eastAsia="Times New Roman" w:hAnsi="Verdana" w:cs="Times New Roman"/>
          <w:color w:val="000000"/>
        </w:rPr>
        <w:t xml:space="preserve"> c</w:t>
      </w:r>
      <w:r w:rsidRPr="00CB1445">
        <w:rPr>
          <w:rFonts w:ascii="Times New Roman" w:eastAsia="Times New Roman" w:hAnsi="Times New Roman" w:cs="Times New Roman"/>
          <w:color w:val="000000"/>
        </w:rPr>
        <w:t>ase example</w:t>
      </w:r>
      <w:r w:rsidRPr="00CB1445">
        <w:rPr>
          <w:rFonts w:ascii="Times New Roman" w:eastAsia="Times New Roman" w:hAnsi="Times New Roman" w:cs="Times New Roman"/>
          <w:color w:val="000000"/>
          <w:sz w:val="20"/>
          <w:szCs w:val="20"/>
        </w:rPr>
        <w:t> </w:t>
      </w:r>
      <w:r w:rsidRPr="00CB1445">
        <w:rPr>
          <w:rFonts w:ascii="Times New Roman" w:eastAsia="Times New Roman" w:hAnsi="Times New Roman" w:cs="Times New Roman"/>
          <w:color w:val="000000"/>
        </w:rPr>
        <w:t>that illustrates a number of leader processes I have identified in this paper.</w:t>
      </w:r>
    </w:p>
    <w:p w14:paraId="6706F41C" w14:textId="252C0468" w:rsidR="00CB1445" w:rsidRDefault="00CB1445" w:rsidP="00CB1445">
      <w:pPr>
        <w:rPr>
          <w:rFonts w:ascii="Times New Roman" w:eastAsia="Times New Roman" w:hAnsi="Times New Roman" w:cs="Times New Roman"/>
          <w:color w:val="000000"/>
        </w:rPr>
      </w:pPr>
    </w:p>
    <w:p w14:paraId="4B845D45" w14:textId="77777777" w:rsidR="00CB1445" w:rsidRDefault="00CB1445" w:rsidP="00CB1445">
      <w:pPr>
        <w:rPr>
          <w:rFonts w:ascii="Times New Roman" w:eastAsia="Times New Roman" w:hAnsi="Times New Roman" w:cs="Times New Roman"/>
        </w:rPr>
      </w:pPr>
      <w:r w:rsidRPr="640A6CFA">
        <w:rPr>
          <w:rFonts w:ascii="Times New Roman" w:eastAsia="Times New Roman" w:hAnsi="Times New Roman" w:cs="Times New Roman"/>
        </w:rPr>
        <w:t xml:space="preserve">A member of our Balint group presented a case of a patient she saw in training years ago. The memory of the patient had stayed with her. The patient had died by suicide sometime after the presenter had moved on in training and stopped seeing them for psychotherapy. The relationship had been a good one and the patient had seemed to be improving. </w:t>
      </w:r>
    </w:p>
    <w:p w14:paraId="2FFB0A64" w14:textId="77777777" w:rsidR="00CB1445" w:rsidRDefault="00CB1445" w:rsidP="00CB1445">
      <w:pPr>
        <w:rPr>
          <w:rFonts w:ascii="Times New Roman" w:eastAsia="Times New Roman" w:hAnsi="Times New Roman" w:cs="Times New Roman"/>
        </w:rPr>
      </w:pPr>
    </w:p>
    <w:p w14:paraId="4CCA6E80" w14:textId="77777777" w:rsidR="00CB1445" w:rsidRDefault="00CB1445" w:rsidP="00CB1445">
      <w:pPr>
        <w:rPr>
          <w:rFonts w:ascii="Times New Roman" w:eastAsia="Times New Roman" w:hAnsi="Times New Roman" w:cs="Times New Roman"/>
        </w:rPr>
      </w:pPr>
      <w:r>
        <w:rPr>
          <w:rFonts w:ascii="Times New Roman" w:eastAsia="Times New Roman" w:hAnsi="Times New Roman" w:cs="Times New Roman"/>
        </w:rPr>
        <w:t xml:space="preserve">We were using the pushback method in this group and all the non-discretionary structural interventions such as asking for a case, asking for clarifying questions, pushing the presenter back, and bringing them back in were all used. </w:t>
      </w:r>
    </w:p>
    <w:p w14:paraId="0CFE0BFB" w14:textId="77777777" w:rsidR="00CB1445" w:rsidRDefault="00CB1445" w:rsidP="00CB1445">
      <w:pPr>
        <w:rPr>
          <w:rFonts w:ascii="Times New Roman" w:eastAsia="Times New Roman" w:hAnsi="Times New Roman" w:cs="Times New Roman"/>
        </w:rPr>
      </w:pPr>
    </w:p>
    <w:p w14:paraId="1FAFB780" w14:textId="02E26279" w:rsidR="00CB1445" w:rsidRDefault="00CB1445" w:rsidP="00B55700">
      <w:pPr>
        <w:rPr>
          <w:rFonts w:ascii="Times New Roman" w:eastAsia="Times New Roman" w:hAnsi="Times New Roman" w:cs="Times New Roman"/>
        </w:rPr>
      </w:pPr>
      <w:r w:rsidRPr="640A6CFA">
        <w:rPr>
          <w:rFonts w:ascii="Times New Roman" w:eastAsia="Times New Roman" w:hAnsi="Times New Roman" w:cs="Times New Roman"/>
        </w:rPr>
        <w:t xml:space="preserve">Several discretionary interventions occurred to me around the themes of abandonment, guilt, and </w:t>
      </w:r>
      <w:r w:rsidRPr="00E60036">
        <w:rPr>
          <w:rFonts w:ascii="Times New Roman" w:eastAsia="Times New Roman" w:hAnsi="Times New Roman" w:cs="Times New Roman"/>
        </w:rPr>
        <w:t>boundaries</w:t>
      </w:r>
      <w:r w:rsidRPr="640A6CFA">
        <w:rPr>
          <w:rFonts w:ascii="Times New Roman" w:eastAsia="Times New Roman" w:hAnsi="Times New Roman" w:cs="Times New Roman"/>
        </w:rPr>
        <w:t>. I made one early intervention “Why does this patient stick with us” in hopes of getting to some of those issues. The group responded to that intervention with the pain and responsibility that might be felt. I had thought of the intervention “Why is this patient always punctual and showing up to clinic often?” The group discussed this without my input.</w:t>
      </w:r>
      <w:r w:rsidR="006376C5">
        <w:rPr>
          <w:rFonts w:ascii="Times New Roman" w:eastAsia="Times New Roman" w:hAnsi="Times New Roman" w:cs="Times New Roman"/>
        </w:rPr>
        <w:t xml:space="preserve"> That indicated to me that at least I was tracking the group reasonably well. </w:t>
      </w:r>
      <w:r w:rsidRPr="640A6CFA">
        <w:rPr>
          <w:rFonts w:ascii="Times New Roman" w:eastAsia="Times New Roman" w:hAnsi="Times New Roman" w:cs="Times New Roman"/>
        </w:rPr>
        <w:t xml:space="preserve"> Later in the group it occurred to me that the presenter was probably the same age as the patient’s daughter. I decided it was too late in the group to get to that and in the remaining moments the group went back to a sense of guilt, remorse, fear for such patients, which was more useful than my intervention might have been at that point</w:t>
      </w:r>
      <w:r w:rsidR="00FC462F">
        <w:rPr>
          <w:rFonts w:ascii="Times New Roman" w:eastAsia="Times New Roman" w:hAnsi="Times New Roman" w:cs="Times New Roman"/>
        </w:rPr>
        <w:t xml:space="preserve"> given that </w:t>
      </w:r>
      <w:r w:rsidR="00FC462F" w:rsidRPr="009D392B">
        <w:rPr>
          <w:rFonts w:ascii="Times New Roman" w:hAnsi="Times New Roman" w:cs="Times New Roman"/>
        </w:rPr>
        <w:t>the group continued to work actively and to deal with genuine feelings.</w:t>
      </w:r>
      <w:r w:rsidRPr="009D392B">
        <w:rPr>
          <w:rFonts w:ascii="Times New Roman" w:eastAsia="Times New Roman" w:hAnsi="Times New Roman" w:cs="Times New Roman"/>
        </w:rPr>
        <w:t xml:space="preserve"> </w:t>
      </w:r>
      <w:r w:rsidRPr="640A6CFA">
        <w:rPr>
          <w:rFonts w:ascii="Times New Roman" w:eastAsia="Times New Roman" w:hAnsi="Times New Roman" w:cs="Times New Roman"/>
        </w:rPr>
        <w:t>That proved to me once again that sometimes a non-intervention is the best one.</w:t>
      </w:r>
      <w:r w:rsidR="006376C5">
        <w:rPr>
          <w:rFonts w:ascii="Times New Roman" w:eastAsia="Times New Roman" w:hAnsi="Times New Roman" w:cs="Times New Roman"/>
        </w:rPr>
        <w:t xml:space="preserve"> </w:t>
      </w:r>
    </w:p>
    <w:p w14:paraId="7FEFE932" w14:textId="77777777" w:rsidR="004108D0" w:rsidRDefault="004108D0" w:rsidP="00B55700">
      <w:pPr>
        <w:rPr>
          <w:rFonts w:ascii="Times New Roman" w:eastAsia="Times New Roman" w:hAnsi="Times New Roman" w:cs="Times New Roman"/>
        </w:rPr>
      </w:pPr>
    </w:p>
    <w:p w14:paraId="31D21D99" w14:textId="0A847177" w:rsidR="00B55700" w:rsidRDefault="004108D0" w:rsidP="00B55700">
      <w:pPr>
        <w:rPr>
          <w:rFonts w:ascii="Times New Roman" w:eastAsia="Times New Roman" w:hAnsi="Times New Roman" w:cs="Times New Roman"/>
        </w:rPr>
      </w:pPr>
      <w:r w:rsidRPr="640A6CFA">
        <w:rPr>
          <w:rFonts w:ascii="Times New Roman" w:eastAsia="Times New Roman" w:hAnsi="Times New Roman" w:cs="Times New Roman"/>
        </w:rPr>
        <w:t>As in other tasks, the more experience one gets as a Balint leader chances are the more comfortable one becomes with trusting one</w:t>
      </w:r>
      <w:r w:rsidR="00F3609E" w:rsidRPr="640A6CFA">
        <w:rPr>
          <w:rFonts w:ascii="Times New Roman" w:eastAsia="Times New Roman" w:hAnsi="Times New Roman" w:cs="Times New Roman"/>
        </w:rPr>
        <w:t>’</w:t>
      </w:r>
      <w:r w:rsidRPr="640A6CFA">
        <w:rPr>
          <w:rFonts w:ascii="Times New Roman" w:eastAsia="Times New Roman" w:hAnsi="Times New Roman" w:cs="Times New Roman"/>
        </w:rPr>
        <w:t>s intuition</w:t>
      </w:r>
      <w:r w:rsidR="00F3609E" w:rsidRPr="640A6CFA">
        <w:rPr>
          <w:rFonts w:ascii="Times New Roman" w:eastAsia="Times New Roman" w:hAnsi="Times New Roman" w:cs="Times New Roman"/>
        </w:rPr>
        <w:t xml:space="preserve">. Preparing this presentation has helped me to have some understanding of the mystery </w:t>
      </w:r>
      <w:r w:rsidR="009A0591">
        <w:rPr>
          <w:rFonts w:ascii="Times New Roman" w:eastAsia="Times New Roman" w:hAnsi="Times New Roman" w:cs="Times New Roman"/>
        </w:rPr>
        <w:t xml:space="preserve">of </w:t>
      </w:r>
      <w:r w:rsidR="00A5089F" w:rsidRPr="640A6CFA">
        <w:rPr>
          <w:rFonts w:ascii="Times New Roman" w:eastAsia="Times New Roman" w:hAnsi="Times New Roman" w:cs="Times New Roman"/>
        </w:rPr>
        <w:t>whether an</w:t>
      </w:r>
      <w:r w:rsidR="00F3609E" w:rsidRPr="640A6CFA">
        <w:rPr>
          <w:rFonts w:ascii="Times New Roman" w:eastAsia="Times New Roman" w:hAnsi="Times New Roman" w:cs="Times New Roman"/>
        </w:rPr>
        <w:t xml:space="preserve"> unspoken leader intervention</w:t>
      </w:r>
      <w:r w:rsidR="00A5089F" w:rsidRPr="640A6CFA">
        <w:rPr>
          <w:rFonts w:ascii="Times New Roman" w:eastAsia="Times New Roman" w:hAnsi="Times New Roman" w:cs="Times New Roman"/>
        </w:rPr>
        <w:t xml:space="preserve"> is ever spoken</w:t>
      </w:r>
      <w:r w:rsidR="00F3609E" w:rsidRPr="640A6CFA">
        <w:rPr>
          <w:rFonts w:ascii="Times New Roman" w:eastAsia="Times New Roman" w:hAnsi="Times New Roman" w:cs="Times New Roman"/>
        </w:rPr>
        <w:t>. Over the past 30 years of leading Balint groups</w:t>
      </w:r>
      <w:r w:rsidR="00A5089F" w:rsidRPr="640A6CFA">
        <w:rPr>
          <w:rFonts w:ascii="Times New Roman" w:eastAsia="Times New Roman" w:hAnsi="Times New Roman" w:cs="Times New Roman"/>
        </w:rPr>
        <w:t xml:space="preserve"> I have</w:t>
      </w:r>
      <w:r w:rsidR="00F3609E" w:rsidRPr="640A6CFA">
        <w:rPr>
          <w:rFonts w:ascii="Times New Roman" w:eastAsia="Times New Roman" w:hAnsi="Times New Roman" w:cs="Times New Roman"/>
        </w:rPr>
        <w:t xml:space="preserve"> come to t</w:t>
      </w:r>
      <w:r w:rsidR="00B55700" w:rsidRPr="640A6CFA">
        <w:rPr>
          <w:rFonts w:ascii="Times New Roman" w:eastAsia="Times New Roman" w:hAnsi="Times New Roman" w:cs="Times New Roman"/>
        </w:rPr>
        <w:t xml:space="preserve">rust my intuition and go with it a fair amount. </w:t>
      </w:r>
      <w:r w:rsidR="009A0591">
        <w:rPr>
          <w:rFonts w:ascii="Times New Roman" w:eastAsia="Times New Roman" w:hAnsi="Times New Roman" w:cs="Times New Roman"/>
        </w:rPr>
        <w:t>After all, t</w:t>
      </w:r>
      <w:r w:rsidR="00B55700" w:rsidRPr="640A6CFA">
        <w:rPr>
          <w:rFonts w:ascii="Times New Roman" w:eastAsia="Times New Roman" w:hAnsi="Times New Roman" w:cs="Times New Roman"/>
        </w:rPr>
        <w:t>he group can choose to ignore an intervention if it does not fit</w:t>
      </w:r>
      <w:r w:rsidR="006376C5">
        <w:rPr>
          <w:rFonts w:ascii="Times New Roman" w:eastAsia="Times New Roman" w:hAnsi="Times New Roman" w:cs="Times New Roman"/>
        </w:rPr>
        <w:t xml:space="preserve"> or come back to the intervention when they are ready. </w:t>
      </w:r>
      <w:r w:rsidR="00B55700" w:rsidRPr="640A6CFA">
        <w:rPr>
          <w:rFonts w:ascii="Times New Roman" w:eastAsia="Times New Roman" w:hAnsi="Times New Roman" w:cs="Times New Roman"/>
        </w:rPr>
        <w:t xml:space="preserve">Very few interventions are damaging to the group unless they are mean spirited or shaming, or repeatedly over-controlling. </w:t>
      </w:r>
      <w:r w:rsidR="00F3609E" w:rsidRPr="640A6CFA">
        <w:rPr>
          <w:rFonts w:ascii="Times New Roman" w:eastAsia="Times New Roman" w:hAnsi="Times New Roman" w:cs="Times New Roman"/>
        </w:rPr>
        <w:t xml:space="preserve">I have come to feel the necessity of intervening in non-discretionary situations, and the virtue </w:t>
      </w:r>
      <w:r w:rsidR="00A5089F" w:rsidRPr="640A6CFA">
        <w:rPr>
          <w:rFonts w:ascii="Times New Roman" w:eastAsia="Times New Roman" w:hAnsi="Times New Roman" w:cs="Times New Roman"/>
        </w:rPr>
        <w:t xml:space="preserve">of </w:t>
      </w:r>
      <w:r w:rsidR="00F3609E" w:rsidRPr="640A6CFA">
        <w:rPr>
          <w:rFonts w:ascii="Times New Roman" w:eastAsia="Times New Roman" w:hAnsi="Times New Roman" w:cs="Times New Roman"/>
        </w:rPr>
        <w:t xml:space="preserve">questioning whether to intervene in situations that I believe are discretionary. </w:t>
      </w:r>
      <w:r w:rsidR="00B2649B" w:rsidRPr="640A6CFA">
        <w:rPr>
          <w:rFonts w:ascii="Times New Roman" w:eastAsia="Times New Roman" w:hAnsi="Times New Roman" w:cs="Times New Roman"/>
        </w:rPr>
        <w:t xml:space="preserve">Hopefully, I get it right. And if not, my co-leader is sure to let me know. </w:t>
      </w:r>
    </w:p>
    <w:p w14:paraId="6B2FFF16" w14:textId="33EAE457" w:rsidR="000C4041" w:rsidRDefault="000C4041" w:rsidP="00B55700">
      <w:pPr>
        <w:rPr>
          <w:rFonts w:ascii="Times New Roman" w:eastAsia="Times New Roman" w:hAnsi="Times New Roman" w:cs="Times New Roman"/>
        </w:rPr>
      </w:pPr>
    </w:p>
    <w:p w14:paraId="5546BF50" w14:textId="6FC754AE" w:rsidR="000C4041" w:rsidRDefault="000C4041" w:rsidP="00B55700">
      <w:pPr>
        <w:rPr>
          <w:rFonts w:ascii="Times New Roman" w:eastAsia="Times New Roman" w:hAnsi="Times New Roman" w:cs="Times New Roman"/>
        </w:rPr>
      </w:pPr>
    </w:p>
    <w:p w14:paraId="4D0893E4" w14:textId="77777777" w:rsidR="000C4041" w:rsidRDefault="000C4041" w:rsidP="00B55700">
      <w:pPr>
        <w:rPr>
          <w:rFonts w:ascii="Times New Roman" w:eastAsia="Times New Roman" w:hAnsi="Times New Roman" w:cs="Times New Roman"/>
        </w:rPr>
      </w:pPr>
    </w:p>
    <w:p w14:paraId="01A88A65" w14:textId="77777777" w:rsidR="00477F88" w:rsidRPr="00477F88" w:rsidRDefault="00477F88" w:rsidP="00E60036">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Borrell-</w:t>
      </w:r>
      <w:proofErr w:type="spellStart"/>
      <w:r w:rsidRPr="00477F88">
        <w:rPr>
          <w:rFonts w:ascii="Times New Roman" w:eastAsia="Times New Roman" w:hAnsi="Times New Roman" w:cs="Times New Roman"/>
          <w:color w:val="000000"/>
        </w:rPr>
        <w:t>Carrio</w:t>
      </w:r>
      <w:proofErr w:type="spellEnd"/>
      <w:r w:rsidRPr="00477F88">
        <w:rPr>
          <w:rFonts w:ascii="Times New Roman" w:eastAsia="Times New Roman" w:hAnsi="Times New Roman" w:cs="Times New Roman"/>
          <w:color w:val="000000"/>
        </w:rPr>
        <w:t>, F. Epstein, RM. Preventing Errors in Clinical Practice: A Call for Self- Awareness. Annals of Family Medicine 2004;2(4): 310 -316.</w:t>
      </w:r>
    </w:p>
    <w:p w14:paraId="39D1E7E9" w14:textId="77777777" w:rsidR="00477F88" w:rsidRPr="00477F88" w:rsidRDefault="00477F88" w:rsidP="00477F88">
      <w:pPr>
        <w:ind w:left="360"/>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4B199485" w14:textId="1100423C" w:rsidR="00E60036" w:rsidRDefault="00E60036" w:rsidP="00E60036">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xml:space="preserve">Johnson, AH, </w:t>
      </w:r>
      <w:proofErr w:type="spellStart"/>
      <w:r w:rsidRPr="00477F88">
        <w:rPr>
          <w:rFonts w:ascii="Times New Roman" w:eastAsia="Times New Roman" w:hAnsi="Times New Roman" w:cs="Times New Roman"/>
          <w:color w:val="000000"/>
        </w:rPr>
        <w:t>Nease</w:t>
      </w:r>
      <w:proofErr w:type="spellEnd"/>
      <w:r w:rsidRPr="00477F88">
        <w:rPr>
          <w:rFonts w:ascii="Times New Roman" w:eastAsia="Times New Roman" w:hAnsi="Times New Roman" w:cs="Times New Roman"/>
          <w:color w:val="000000"/>
        </w:rPr>
        <w:t>, DE, Milberg, LC, and Addison, RB. Essential Characteristics of Effective Balint Group Leadership. Family Medicine 2000; 36(4): 253 -259</w:t>
      </w:r>
    </w:p>
    <w:p w14:paraId="454D6ED3" w14:textId="18B70FB3" w:rsidR="00477F88" w:rsidRPr="00477F88" w:rsidRDefault="00477F88" w:rsidP="00477F88">
      <w:pPr>
        <w:rPr>
          <w:rFonts w:ascii="Times New Roman" w:eastAsia="Times New Roman" w:hAnsi="Times New Roman" w:cs="Times New Roman"/>
          <w:color w:val="000000"/>
        </w:rPr>
      </w:pPr>
    </w:p>
    <w:p w14:paraId="3C37F101"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49258123" w14:textId="77777777" w:rsidR="00477F88" w:rsidRPr="00477F88" w:rsidRDefault="00477F88" w:rsidP="00E60036">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lastRenderedPageBreak/>
        <w:t>Kahneman, D. A Perspective on Judgment and Choice: Mapping Bounded Rationality. American Psychologist 2003;58(9):697-720.</w:t>
      </w:r>
    </w:p>
    <w:p w14:paraId="3ED80A62"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59172CF8"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4DD9D5AC"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38E705AC" w14:textId="77777777" w:rsidR="00477F88" w:rsidRPr="00477F88" w:rsidRDefault="00477F88" w:rsidP="00E60036">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Klein, G. (2003) Intuition at Work. Doubleday: New York.</w:t>
      </w:r>
    </w:p>
    <w:p w14:paraId="11D15754"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22B43AF6" w14:textId="27AA37A1" w:rsidR="00E60036" w:rsidRDefault="00E60036" w:rsidP="00E60036">
      <w:pPr>
        <w:rPr>
          <w:rFonts w:ascii="Raleway" w:eastAsia="Times New Roman" w:hAnsi="Raleway" w:cs="Times New Roman"/>
          <w:color w:val="000000"/>
          <w:shd w:val="clear" w:color="auto" w:fill="FFFFFF"/>
        </w:rPr>
      </w:pPr>
      <w:r w:rsidRPr="00E60036">
        <w:rPr>
          <w:rFonts w:ascii="Times New Roman" w:eastAsia="Times New Roman" w:hAnsi="Times New Roman" w:cs="Times New Roman"/>
          <w:color w:val="000000"/>
          <w:shd w:val="clear" w:color="auto" w:fill="FFFFFF"/>
        </w:rPr>
        <w:t>Lichtenstein and Lustig. Integrating intuition and reasoning--how Balint groups can help medical decision making. Australian family physician (2006) vol. 35 (12) pp. 987-</w:t>
      </w:r>
      <w:r w:rsidRPr="00E60036">
        <w:rPr>
          <w:rFonts w:ascii="Raleway" w:eastAsia="Times New Roman" w:hAnsi="Raleway" w:cs="Times New Roman"/>
          <w:color w:val="000000"/>
          <w:shd w:val="clear" w:color="auto" w:fill="FFFFFF"/>
        </w:rPr>
        <w:t>9</w:t>
      </w:r>
    </w:p>
    <w:p w14:paraId="4824DE53" w14:textId="0984CE09" w:rsidR="00E526AB" w:rsidRDefault="00E526AB" w:rsidP="00E60036">
      <w:pPr>
        <w:rPr>
          <w:rFonts w:ascii="Raleway" w:eastAsia="Times New Roman" w:hAnsi="Raleway" w:cs="Times New Roman"/>
          <w:color w:val="000000"/>
          <w:shd w:val="clear" w:color="auto" w:fill="FFFFFF"/>
        </w:rPr>
      </w:pPr>
    </w:p>
    <w:p w14:paraId="266C45FC" w14:textId="135B25B1" w:rsidR="00477F88" w:rsidRPr="00E60036" w:rsidRDefault="00E526AB" w:rsidP="00477F88">
      <w:pPr>
        <w:rPr>
          <w:rFonts w:ascii="Times New Roman" w:eastAsia="Times New Roman" w:hAnsi="Times New Roman" w:cs="Times New Roman"/>
          <w:color w:val="000000"/>
        </w:rPr>
      </w:pPr>
      <w:r w:rsidRPr="00E526AB">
        <w:rPr>
          <w:rFonts w:ascii="Times New Roman" w:eastAsia="Times New Roman" w:hAnsi="Times New Roman" w:cs="Times New Roman"/>
          <w:color w:val="000000"/>
        </w:rPr>
        <w:t xml:space="preserve">Novak, DH, Epstein, RM, Paulsen, RH. Toward Creating </w:t>
      </w:r>
      <w:proofErr w:type="spellStart"/>
      <w:r w:rsidRPr="00E526AB">
        <w:rPr>
          <w:rFonts w:ascii="Times New Roman" w:eastAsia="Times New Roman" w:hAnsi="Times New Roman" w:cs="Times New Roman"/>
          <w:color w:val="000000"/>
        </w:rPr>
        <w:t>Phsycian</w:t>
      </w:r>
      <w:proofErr w:type="spellEnd"/>
      <w:r w:rsidRPr="00E526AB">
        <w:rPr>
          <w:rFonts w:ascii="Times New Roman" w:eastAsia="Times New Roman" w:hAnsi="Times New Roman" w:cs="Times New Roman"/>
          <w:color w:val="000000"/>
        </w:rPr>
        <w:t>- Healers: Fostering Medical Students’ Self-awareness, Personal Growth, and Well – Being. Academic Medicine 1999; 5 (May): 516- 520</w:t>
      </w:r>
    </w:p>
    <w:p w14:paraId="0622DCC0" w14:textId="36E1C995" w:rsidR="00477F88" w:rsidRPr="00E60036" w:rsidRDefault="00477F88" w:rsidP="00477F88">
      <w:pPr>
        <w:rPr>
          <w:rFonts w:ascii="Times New Roman" w:eastAsia="Times New Roman" w:hAnsi="Times New Roman" w:cs="Times New Roman"/>
          <w:color w:val="000000"/>
        </w:rPr>
      </w:pPr>
    </w:p>
    <w:p w14:paraId="5DD9514B" w14:textId="77777777" w:rsidR="00E60036" w:rsidRPr="00E60036" w:rsidRDefault="00477F88" w:rsidP="00E60036">
      <w:pPr>
        <w:rPr>
          <w:rFonts w:ascii="Times New Roman" w:eastAsia="Times New Roman" w:hAnsi="Times New Roman" w:cs="Times New Roman"/>
        </w:rPr>
      </w:pPr>
      <w:proofErr w:type="spellStart"/>
      <w:r w:rsidRPr="00E60036">
        <w:rPr>
          <w:rFonts w:ascii="Times New Roman" w:eastAsia="Times New Roman" w:hAnsi="Times New Roman" w:cs="Times New Roman"/>
          <w:color w:val="000000"/>
        </w:rPr>
        <w:t>Sternlieb</w:t>
      </w:r>
      <w:proofErr w:type="spellEnd"/>
      <w:r w:rsidRPr="00E60036">
        <w:rPr>
          <w:rFonts w:ascii="Times New Roman" w:eastAsia="Times New Roman" w:hAnsi="Times New Roman" w:cs="Times New Roman"/>
          <w:color w:val="000000"/>
        </w:rPr>
        <w:t xml:space="preserve">, J. </w:t>
      </w:r>
      <w:r w:rsidR="00E60036" w:rsidRPr="00E60036">
        <w:rPr>
          <w:rFonts w:ascii="Calibri" w:eastAsia="Times New Roman" w:hAnsi="Calibri" w:cs="Calibri"/>
          <w:color w:val="000000"/>
        </w:rPr>
        <w:t>Balint Group Architecture,” </w:t>
      </w:r>
      <w:r w:rsidR="00E60036" w:rsidRPr="00E60036">
        <w:rPr>
          <w:rFonts w:ascii="Calibri" w:eastAsia="Times New Roman" w:hAnsi="Calibri" w:cs="Calibri"/>
          <w:color w:val="000000"/>
          <w:u w:val="single"/>
        </w:rPr>
        <w:t>Journal of the Balint Society</w:t>
      </w:r>
      <w:r w:rsidR="00E60036" w:rsidRPr="00E60036">
        <w:rPr>
          <w:rFonts w:ascii="Calibri" w:eastAsia="Times New Roman" w:hAnsi="Calibri" w:cs="Calibri"/>
          <w:color w:val="000000"/>
        </w:rPr>
        <w:t>, Vol. 39 p. 17-19, 2011</w:t>
      </w:r>
    </w:p>
    <w:p w14:paraId="445913C1" w14:textId="751092D8" w:rsidR="00477F88" w:rsidRPr="00E60036" w:rsidRDefault="00477F88" w:rsidP="00E60036">
      <w:pPr>
        <w:rPr>
          <w:rFonts w:ascii="Times New Roman" w:eastAsia="Times New Roman" w:hAnsi="Times New Roman" w:cs="Times New Roman"/>
          <w:color w:val="000000"/>
        </w:rPr>
      </w:pPr>
      <w:r w:rsidRPr="00E60036">
        <w:rPr>
          <w:rFonts w:ascii="Times New Roman" w:eastAsia="Times New Roman" w:hAnsi="Times New Roman" w:cs="Times New Roman"/>
          <w:color w:val="000000"/>
        </w:rPr>
        <w:t> </w:t>
      </w:r>
    </w:p>
    <w:p w14:paraId="475095C7"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75CAE9BF"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04763469"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45C54289"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3B9669EC"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146A48A5"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4C71A779" w14:textId="77777777" w:rsidR="00477F88" w:rsidRPr="00477F88" w:rsidRDefault="00477F88" w:rsidP="00477F88">
      <w:pPr>
        <w:rPr>
          <w:rFonts w:ascii="Times New Roman" w:eastAsia="Times New Roman" w:hAnsi="Times New Roman" w:cs="Times New Roman"/>
          <w:color w:val="000000"/>
        </w:rPr>
      </w:pPr>
      <w:r w:rsidRPr="00477F88">
        <w:rPr>
          <w:rFonts w:ascii="Times New Roman" w:eastAsia="Times New Roman" w:hAnsi="Times New Roman" w:cs="Times New Roman"/>
          <w:color w:val="000000"/>
        </w:rPr>
        <w:t> </w:t>
      </w:r>
    </w:p>
    <w:p w14:paraId="3F32BC60" w14:textId="77777777" w:rsidR="00477F88" w:rsidRPr="00477F88" w:rsidRDefault="00477F88" w:rsidP="00477F88">
      <w:pPr>
        <w:rPr>
          <w:rFonts w:ascii="Times New Roman" w:eastAsia="Times New Roman" w:hAnsi="Times New Roman" w:cs="Times New Roman"/>
          <w:color w:val="000000"/>
        </w:rPr>
      </w:pPr>
      <w:r w:rsidRPr="00477F88">
        <w:rPr>
          <w:rFonts w:ascii="Calibri" w:eastAsia="Times New Roman" w:hAnsi="Calibri" w:cs="Calibri"/>
          <w:color w:val="000000"/>
          <w:sz w:val="22"/>
          <w:szCs w:val="22"/>
        </w:rPr>
        <w:t> </w:t>
      </w:r>
    </w:p>
    <w:p w14:paraId="64C648ED" w14:textId="77777777" w:rsidR="0080788D" w:rsidRDefault="0080788D" w:rsidP="00B55700">
      <w:pPr>
        <w:rPr>
          <w:rFonts w:ascii="Times New Roman" w:eastAsia="Times New Roman" w:hAnsi="Times New Roman" w:cs="Times New Roman"/>
        </w:rPr>
      </w:pPr>
    </w:p>
    <w:p w14:paraId="67FC109A" w14:textId="77777777" w:rsidR="0080788D" w:rsidRDefault="0080788D" w:rsidP="00B55700">
      <w:pPr>
        <w:rPr>
          <w:rFonts w:ascii="Times New Roman" w:eastAsia="Times New Roman" w:hAnsi="Times New Roman" w:cs="Times New Roman"/>
        </w:rPr>
      </w:pPr>
    </w:p>
    <w:p w14:paraId="046D8859" w14:textId="77777777" w:rsidR="00970D55" w:rsidRDefault="00970D55"/>
    <w:sectPr w:rsidR="00970D55" w:rsidSect="0046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Raleway">
    <w:altName w:val="Raleway"/>
    <w:charset w:val="CC"/>
    <w:family w:val="auto"/>
    <w:pitch w:val="variable"/>
    <w:sig w:usb0="A00002FF" w:usb1="5000205B"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D6A"/>
    <w:multiLevelType w:val="multilevel"/>
    <w:tmpl w:val="B590E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09E7"/>
    <w:multiLevelType w:val="multilevel"/>
    <w:tmpl w:val="0952EC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E3441"/>
    <w:multiLevelType w:val="multilevel"/>
    <w:tmpl w:val="A6E635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E4F06"/>
    <w:multiLevelType w:val="multilevel"/>
    <w:tmpl w:val="B6E2A8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8013F"/>
    <w:multiLevelType w:val="multilevel"/>
    <w:tmpl w:val="FFB0B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27EDA"/>
    <w:multiLevelType w:val="multilevel"/>
    <w:tmpl w:val="87321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E56DA"/>
    <w:multiLevelType w:val="multilevel"/>
    <w:tmpl w:val="79C283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43253"/>
    <w:multiLevelType w:val="multilevel"/>
    <w:tmpl w:val="99BE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042FC"/>
    <w:multiLevelType w:val="multilevel"/>
    <w:tmpl w:val="1AEC2B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AA7578"/>
    <w:multiLevelType w:val="multilevel"/>
    <w:tmpl w:val="9C563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E02BD"/>
    <w:multiLevelType w:val="multilevel"/>
    <w:tmpl w:val="974E28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126B31"/>
    <w:multiLevelType w:val="multilevel"/>
    <w:tmpl w:val="0354E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1A3958"/>
    <w:multiLevelType w:val="multilevel"/>
    <w:tmpl w:val="68085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167539"/>
    <w:multiLevelType w:val="hybridMultilevel"/>
    <w:tmpl w:val="41189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381482">
    <w:abstractNumId w:val="13"/>
  </w:num>
  <w:num w:numId="2" w16cid:durableId="1806510408">
    <w:abstractNumId w:val="7"/>
  </w:num>
  <w:num w:numId="3" w16cid:durableId="1737321485">
    <w:abstractNumId w:val="9"/>
  </w:num>
  <w:num w:numId="4" w16cid:durableId="1148475632">
    <w:abstractNumId w:val="12"/>
  </w:num>
  <w:num w:numId="5" w16cid:durableId="346686017">
    <w:abstractNumId w:val="0"/>
  </w:num>
  <w:num w:numId="6" w16cid:durableId="29302308">
    <w:abstractNumId w:val="4"/>
  </w:num>
  <w:num w:numId="7" w16cid:durableId="1591155772">
    <w:abstractNumId w:val="11"/>
  </w:num>
  <w:num w:numId="8" w16cid:durableId="1155758310">
    <w:abstractNumId w:val="6"/>
  </w:num>
  <w:num w:numId="9" w16cid:durableId="768307599">
    <w:abstractNumId w:val="3"/>
  </w:num>
  <w:num w:numId="10" w16cid:durableId="1367172993">
    <w:abstractNumId w:val="2"/>
  </w:num>
  <w:num w:numId="11" w16cid:durableId="303849748">
    <w:abstractNumId w:val="8"/>
  </w:num>
  <w:num w:numId="12" w16cid:durableId="833644640">
    <w:abstractNumId w:val="1"/>
  </w:num>
  <w:num w:numId="13" w16cid:durableId="753015817">
    <w:abstractNumId w:val="10"/>
  </w:num>
  <w:num w:numId="14" w16cid:durableId="356587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00"/>
    <w:rsid w:val="00001E4C"/>
    <w:rsid w:val="000C4041"/>
    <w:rsid w:val="00156EE2"/>
    <w:rsid w:val="00161CB7"/>
    <w:rsid w:val="001F65CD"/>
    <w:rsid w:val="00353D6A"/>
    <w:rsid w:val="00372CBE"/>
    <w:rsid w:val="004108D0"/>
    <w:rsid w:val="00460717"/>
    <w:rsid w:val="0046701F"/>
    <w:rsid w:val="00477F88"/>
    <w:rsid w:val="00562826"/>
    <w:rsid w:val="00574649"/>
    <w:rsid w:val="006376C5"/>
    <w:rsid w:val="00805680"/>
    <w:rsid w:val="0080788D"/>
    <w:rsid w:val="0087281D"/>
    <w:rsid w:val="00886053"/>
    <w:rsid w:val="00970D55"/>
    <w:rsid w:val="009A0591"/>
    <w:rsid w:val="009A35CC"/>
    <w:rsid w:val="009D392B"/>
    <w:rsid w:val="00A25593"/>
    <w:rsid w:val="00A5089F"/>
    <w:rsid w:val="00A822C7"/>
    <w:rsid w:val="00B2649B"/>
    <w:rsid w:val="00B55700"/>
    <w:rsid w:val="00C34B54"/>
    <w:rsid w:val="00CB1445"/>
    <w:rsid w:val="00D36CE6"/>
    <w:rsid w:val="00E526AB"/>
    <w:rsid w:val="00E60036"/>
    <w:rsid w:val="00F3609E"/>
    <w:rsid w:val="00F54DDE"/>
    <w:rsid w:val="00FC462F"/>
    <w:rsid w:val="05FC5B44"/>
    <w:rsid w:val="0933FC06"/>
    <w:rsid w:val="0C6B9CC8"/>
    <w:rsid w:val="0D170ECD"/>
    <w:rsid w:val="1BC08AC7"/>
    <w:rsid w:val="1E20F58A"/>
    <w:rsid w:val="26DC0263"/>
    <w:rsid w:val="27033D6E"/>
    <w:rsid w:val="289F0DCF"/>
    <w:rsid w:val="35ECC2C1"/>
    <w:rsid w:val="38BD1F1F"/>
    <w:rsid w:val="39689124"/>
    <w:rsid w:val="43533B69"/>
    <w:rsid w:val="43BDD9CC"/>
    <w:rsid w:val="4E814EA2"/>
    <w:rsid w:val="589E533E"/>
    <w:rsid w:val="5A4C5B90"/>
    <w:rsid w:val="640A6CFA"/>
    <w:rsid w:val="6711B63B"/>
    <w:rsid w:val="6A04C4B5"/>
    <w:rsid w:val="7802DA3D"/>
    <w:rsid w:val="7A8A800B"/>
    <w:rsid w:val="7D414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F1D2"/>
  <w15:docId w15:val="{6F498813-9431-BF4D-843F-84AF5E47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700"/>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700"/>
    <w:pPr>
      <w:ind w:left="720"/>
      <w:contextualSpacing/>
    </w:pPr>
  </w:style>
  <w:style w:type="paragraph" w:styleId="a4">
    <w:name w:val="Balloon Text"/>
    <w:basedOn w:val="a"/>
    <w:link w:val="a5"/>
    <w:uiPriority w:val="99"/>
    <w:semiHidden/>
    <w:unhideWhenUsed/>
    <w:rsid w:val="00805680"/>
    <w:rPr>
      <w:rFonts w:ascii="Lucida Grande" w:hAnsi="Lucida Grande"/>
      <w:sz w:val="18"/>
      <w:szCs w:val="18"/>
    </w:rPr>
  </w:style>
  <w:style w:type="character" w:customStyle="1" w:styleId="a5">
    <w:name w:val="Текст выноски Знак"/>
    <w:basedOn w:val="a0"/>
    <w:link w:val="a4"/>
    <w:uiPriority w:val="99"/>
    <w:semiHidden/>
    <w:rsid w:val="00805680"/>
    <w:rPr>
      <w:rFonts w:ascii="Lucida Grande" w:hAnsi="Lucida Grande"/>
      <w:sz w:val="18"/>
      <w:szCs w:val="18"/>
    </w:rPr>
  </w:style>
  <w:style w:type="character" w:styleId="a6">
    <w:name w:val="annotation reference"/>
    <w:basedOn w:val="a0"/>
    <w:uiPriority w:val="99"/>
    <w:semiHidden/>
    <w:unhideWhenUsed/>
    <w:rsid w:val="00805680"/>
    <w:rPr>
      <w:sz w:val="18"/>
      <w:szCs w:val="18"/>
    </w:rPr>
  </w:style>
  <w:style w:type="paragraph" w:styleId="a7">
    <w:name w:val="annotation text"/>
    <w:basedOn w:val="a"/>
    <w:link w:val="a8"/>
    <w:uiPriority w:val="99"/>
    <w:semiHidden/>
    <w:unhideWhenUsed/>
    <w:rsid w:val="00805680"/>
  </w:style>
  <w:style w:type="character" w:customStyle="1" w:styleId="a8">
    <w:name w:val="Текст примечания Знак"/>
    <w:basedOn w:val="a0"/>
    <w:link w:val="a7"/>
    <w:uiPriority w:val="99"/>
    <w:semiHidden/>
    <w:rsid w:val="00805680"/>
    <w:rPr>
      <w:sz w:val="24"/>
      <w:szCs w:val="24"/>
    </w:rPr>
  </w:style>
  <w:style w:type="paragraph" w:styleId="a9">
    <w:name w:val="annotation subject"/>
    <w:basedOn w:val="a7"/>
    <w:next w:val="a7"/>
    <w:link w:val="aa"/>
    <w:uiPriority w:val="99"/>
    <w:semiHidden/>
    <w:unhideWhenUsed/>
    <w:rsid w:val="00805680"/>
    <w:rPr>
      <w:b/>
      <w:bCs/>
      <w:sz w:val="20"/>
      <w:szCs w:val="20"/>
    </w:rPr>
  </w:style>
  <w:style w:type="character" w:customStyle="1" w:styleId="aa">
    <w:name w:val="Тема примечания Знак"/>
    <w:basedOn w:val="a8"/>
    <w:link w:val="a9"/>
    <w:uiPriority w:val="99"/>
    <w:semiHidden/>
    <w:rsid w:val="00805680"/>
    <w:rPr>
      <w:b/>
      <w:bCs/>
      <w:sz w:val="20"/>
      <w:szCs w:val="20"/>
    </w:rPr>
  </w:style>
  <w:style w:type="paragraph" w:styleId="ab">
    <w:name w:val="Revision"/>
    <w:hidden/>
    <w:uiPriority w:val="99"/>
    <w:semiHidden/>
    <w:rsid w:val="009A35CC"/>
    <w:pPr>
      <w:spacing w:after="0" w:line="240" w:lineRule="auto"/>
    </w:pPr>
    <w:rPr>
      <w:sz w:val="24"/>
      <w:szCs w:val="24"/>
    </w:rPr>
  </w:style>
  <w:style w:type="character" w:customStyle="1" w:styleId="apple-converted-space">
    <w:name w:val="apple-converted-space"/>
    <w:basedOn w:val="a0"/>
    <w:rsid w:val="00CB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660">
      <w:bodyDiv w:val="1"/>
      <w:marLeft w:val="0"/>
      <w:marRight w:val="0"/>
      <w:marTop w:val="0"/>
      <w:marBottom w:val="0"/>
      <w:divBdr>
        <w:top w:val="none" w:sz="0" w:space="0" w:color="auto"/>
        <w:left w:val="none" w:sz="0" w:space="0" w:color="auto"/>
        <w:bottom w:val="none" w:sz="0" w:space="0" w:color="auto"/>
        <w:right w:val="none" w:sz="0" w:space="0" w:color="auto"/>
      </w:divBdr>
    </w:div>
    <w:div w:id="310017428">
      <w:bodyDiv w:val="1"/>
      <w:marLeft w:val="0"/>
      <w:marRight w:val="0"/>
      <w:marTop w:val="0"/>
      <w:marBottom w:val="0"/>
      <w:divBdr>
        <w:top w:val="none" w:sz="0" w:space="0" w:color="auto"/>
        <w:left w:val="none" w:sz="0" w:space="0" w:color="auto"/>
        <w:bottom w:val="none" w:sz="0" w:space="0" w:color="auto"/>
        <w:right w:val="none" w:sz="0" w:space="0" w:color="auto"/>
      </w:divBdr>
    </w:div>
    <w:div w:id="379600257">
      <w:bodyDiv w:val="1"/>
      <w:marLeft w:val="0"/>
      <w:marRight w:val="0"/>
      <w:marTop w:val="0"/>
      <w:marBottom w:val="0"/>
      <w:divBdr>
        <w:top w:val="none" w:sz="0" w:space="0" w:color="auto"/>
        <w:left w:val="none" w:sz="0" w:space="0" w:color="auto"/>
        <w:bottom w:val="none" w:sz="0" w:space="0" w:color="auto"/>
        <w:right w:val="none" w:sz="0" w:space="0" w:color="auto"/>
      </w:divBdr>
    </w:div>
    <w:div w:id="796415013">
      <w:bodyDiv w:val="1"/>
      <w:marLeft w:val="0"/>
      <w:marRight w:val="0"/>
      <w:marTop w:val="0"/>
      <w:marBottom w:val="0"/>
      <w:divBdr>
        <w:top w:val="none" w:sz="0" w:space="0" w:color="auto"/>
        <w:left w:val="none" w:sz="0" w:space="0" w:color="auto"/>
        <w:bottom w:val="none" w:sz="0" w:space="0" w:color="auto"/>
        <w:right w:val="none" w:sz="0" w:space="0" w:color="auto"/>
      </w:divBdr>
    </w:div>
    <w:div w:id="18238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Lichtenstein, Albert</dc:creator>
  <cp:keywords/>
  <dc:description/>
  <cp:lastModifiedBy>Vinokur</cp:lastModifiedBy>
  <cp:revision>7</cp:revision>
  <dcterms:created xsi:type="dcterms:W3CDTF">2022-03-06T19:07:00Z</dcterms:created>
  <dcterms:modified xsi:type="dcterms:W3CDTF">2022-04-09T18:06:00Z</dcterms:modified>
</cp:coreProperties>
</file>